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36" w:rsidRPr="00323637" w:rsidRDefault="004E3279" w:rsidP="00893E63">
      <w:pPr>
        <w:jc w:val="center"/>
        <w:rPr>
          <w:sz w:val="24"/>
        </w:rPr>
      </w:pPr>
      <w:r w:rsidRPr="00323637">
        <w:rPr>
          <w:sz w:val="24"/>
        </w:rPr>
        <w:t>ITCA WIC RFP 15-03</w:t>
      </w:r>
    </w:p>
    <w:p w:rsidR="004E3279" w:rsidRPr="00323637" w:rsidRDefault="004E3279" w:rsidP="00893E63">
      <w:pPr>
        <w:jc w:val="center"/>
        <w:rPr>
          <w:sz w:val="24"/>
        </w:rPr>
      </w:pPr>
      <w:r w:rsidRPr="00323637">
        <w:rPr>
          <w:sz w:val="24"/>
        </w:rPr>
        <w:t>Responses to Bidder Questions</w:t>
      </w:r>
    </w:p>
    <w:p w:rsidR="00AD096F" w:rsidRDefault="00B546C6" w:rsidP="00893E63">
      <w:pPr>
        <w:jc w:val="center"/>
      </w:pPr>
      <w:r>
        <w:t xml:space="preserve"> </w:t>
      </w:r>
    </w:p>
    <w:p w:rsidR="004E3279" w:rsidRPr="00332048" w:rsidRDefault="004E3279" w:rsidP="004E3279">
      <w:pPr>
        <w:pStyle w:val="ListParagraph"/>
        <w:numPr>
          <w:ilvl w:val="0"/>
          <w:numId w:val="1"/>
        </w:numPr>
        <w:rPr>
          <w:b/>
        </w:rPr>
      </w:pPr>
      <w:r w:rsidRPr="00332048">
        <w:rPr>
          <w:b/>
        </w:rPr>
        <w:t>How many days is the current training program?</w:t>
      </w:r>
    </w:p>
    <w:p w:rsidR="004921FA" w:rsidRDefault="00923493" w:rsidP="004921FA">
      <w:pPr>
        <w:pStyle w:val="ListParagraph"/>
      </w:pPr>
      <w:r>
        <w:t xml:space="preserve">There is not a fixed length of time for completion of a training program </w:t>
      </w:r>
      <w:r w:rsidR="002308FF">
        <w:t>currently.  T</w:t>
      </w:r>
      <w:r>
        <w:t xml:space="preserve">he entire training </w:t>
      </w:r>
      <w:r w:rsidR="002308FF">
        <w:t xml:space="preserve">process </w:t>
      </w:r>
      <w:r>
        <w:t xml:space="preserve">is not </w:t>
      </w:r>
      <w:r w:rsidR="002308FF">
        <w:t xml:space="preserve">standardized or </w:t>
      </w:r>
      <w:r>
        <w:t>clearly defined</w:t>
      </w:r>
      <w:r w:rsidR="002308FF">
        <w:t xml:space="preserve"> for all the local agencies</w:t>
      </w:r>
      <w:r>
        <w:t xml:space="preserve">.  </w:t>
      </w:r>
      <w:r w:rsidR="002308FF">
        <w:t xml:space="preserve">Three of the components, the paper-based modules, face-to-face training and completion of college-level nutrition courses are standardized by ITCA.  </w:t>
      </w:r>
      <w:r w:rsidR="00332048">
        <w:t>It take</w:t>
      </w:r>
      <w:r w:rsidR="002308FF">
        <w:t>s</w:t>
      </w:r>
      <w:r w:rsidR="00332048">
        <w:t xml:space="preserve"> a staff member </w:t>
      </w:r>
      <w:r>
        <w:t xml:space="preserve">approximately </w:t>
      </w:r>
      <w:r w:rsidR="00332048">
        <w:t>8</w:t>
      </w:r>
      <w:r w:rsidR="002308FF">
        <w:t xml:space="preserve"> to </w:t>
      </w:r>
      <w:r w:rsidR="00332048">
        <w:t>12 days to complete the paper</w:t>
      </w:r>
      <w:r w:rsidR="002308FF">
        <w:t>-</w:t>
      </w:r>
      <w:r w:rsidR="00332048">
        <w:t xml:space="preserve">based </w:t>
      </w:r>
      <w:r>
        <w:t xml:space="preserve">module </w:t>
      </w:r>
      <w:r w:rsidR="00332048">
        <w:t>training</w:t>
      </w:r>
      <w:r w:rsidR="002308FF">
        <w:t>,</w:t>
      </w:r>
      <w:r w:rsidR="00332048">
        <w:t xml:space="preserve"> 6 days </w:t>
      </w:r>
      <w:r>
        <w:t xml:space="preserve">(two 3-day sessions) </w:t>
      </w:r>
      <w:r w:rsidR="00332048">
        <w:t>for the face-to-face training</w:t>
      </w:r>
      <w:r w:rsidR="002308FF">
        <w:t xml:space="preserve"> and a few months for each of the seven required nutrition courses. </w:t>
      </w:r>
      <w:r>
        <w:t>In addition</w:t>
      </w:r>
      <w:r w:rsidR="002308FF">
        <w:t xml:space="preserve"> to this standardized training</w:t>
      </w:r>
      <w:r>
        <w:t>, staff spend</w:t>
      </w:r>
      <w:r w:rsidR="002308FF">
        <w:t>s</w:t>
      </w:r>
      <w:r>
        <w:t xml:space="preserve"> time </w:t>
      </w:r>
      <w:r w:rsidR="002308FF">
        <w:t>observing</w:t>
      </w:r>
      <w:r>
        <w:t xml:space="preserve"> other staff, practicing skills and being observed while performing duties over a period of several weeks</w:t>
      </w:r>
      <w:r w:rsidR="002308FF">
        <w:t xml:space="preserve"> or longer.</w:t>
      </w:r>
    </w:p>
    <w:p w:rsidR="00950FC7" w:rsidRDefault="00950FC7" w:rsidP="004921FA">
      <w:pPr>
        <w:pStyle w:val="ListParagraph"/>
      </w:pPr>
    </w:p>
    <w:p w:rsidR="004E3279" w:rsidRPr="00950FC7" w:rsidRDefault="004E3279" w:rsidP="004E3279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950FC7">
        <w:rPr>
          <w:b/>
        </w:rPr>
        <w:t>Is</w:t>
      </w:r>
      <w:proofErr w:type="gramEnd"/>
      <w:r w:rsidRPr="00950FC7">
        <w:rPr>
          <w:b/>
        </w:rPr>
        <w:t xml:space="preserve"> there a desired number of days for the projected program?</w:t>
      </w:r>
    </w:p>
    <w:p w:rsidR="00950FC7" w:rsidRDefault="00950FC7" w:rsidP="00950FC7">
      <w:pPr>
        <w:pStyle w:val="ListParagraph"/>
      </w:pPr>
      <w:r>
        <w:t xml:space="preserve">No, there </w:t>
      </w:r>
      <w:proofErr w:type="gramStart"/>
      <w:r w:rsidR="00893E63">
        <w:t>is</w:t>
      </w:r>
      <w:proofErr w:type="gramEnd"/>
      <w:r w:rsidR="00893E63">
        <w:t xml:space="preserve"> </w:t>
      </w:r>
      <w:r>
        <w:t>not a desired number of days</w:t>
      </w:r>
      <w:r w:rsidR="00923493">
        <w:t xml:space="preserve"> for the training program</w:t>
      </w:r>
      <w:r w:rsidR="002B2BEC">
        <w:t>;</w:t>
      </w:r>
      <w:r w:rsidR="00923493">
        <w:t xml:space="preserve"> however, it would be ideal to have staff trained within </w:t>
      </w:r>
      <w:r w:rsidR="00AD096F">
        <w:t>60-90</w:t>
      </w:r>
      <w:r w:rsidR="00923493">
        <w:t xml:space="preserve"> days of hire</w:t>
      </w:r>
      <w:r w:rsidR="002308FF">
        <w:t xml:space="preserve"> for basic skills such as eligibility determination.  Additional time would be allowed for those being trained to complete nutrition assessment, nutrition counseling and breastfeeding promotion and support</w:t>
      </w:r>
      <w:r w:rsidR="00923493">
        <w:t>.</w:t>
      </w:r>
      <w:r w:rsidR="00923493" w:rsidDel="00923493">
        <w:t xml:space="preserve"> </w:t>
      </w:r>
    </w:p>
    <w:p w:rsidR="001D6930" w:rsidRDefault="001D6930" w:rsidP="00950FC7">
      <w:pPr>
        <w:pStyle w:val="ListParagraph"/>
      </w:pPr>
    </w:p>
    <w:p w:rsidR="004E3279" w:rsidRPr="004921FA" w:rsidRDefault="004E3279" w:rsidP="00923493">
      <w:pPr>
        <w:pStyle w:val="ListParagraph"/>
        <w:numPr>
          <w:ilvl w:val="0"/>
          <w:numId w:val="1"/>
        </w:numPr>
        <w:rPr>
          <w:b/>
        </w:rPr>
      </w:pPr>
      <w:r w:rsidRPr="004921FA">
        <w:rPr>
          <w:b/>
        </w:rPr>
        <w:t>What is the format of the current training program?</w:t>
      </w:r>
    </w:p>
    <w:p w:rsidR="004921FA" w:rsidRDefault="004921FA" w:rsidP="004921FA">
      <w:pPr>
        <w:pStyle w:val="ListParagraph"/>
      </w:pPr>
      <w:r>
        <w:t xml:space="preserve">Current training </w:t>
      </w:r>
      <w:r w:rsidR="00923493">
        <w:t>is described in #1 above.</w:t>
      </w:r>
    </w:p>
    <w:p w:rsidR="004921FA" w:rsidRDefault="004921FA" w:rsidP="004921FA">
      <w:pPr>
        <w:pStyle w:val="ListParagraph"/>
      </w:pPr>
    </w:p>
    <w:p w:rsidR="004E3279" w:rsidRPr="004921FA" w:rsidRDefault="004E3279" w:rsidP="004E3279">
      <w:pPr>
        <w:pStyle w:val="ListParagraph"/>
        <w:numPr>
          <w:ilvl w:val="0"/>
          <w:numId w:val="1"/>
        </w:numPr>
        <w:rPr>
          <w:b/>
        </w:rPr>
      </w:pPr>
      <w:r w:rsidRPr="004921FA">
        <w:rPr>
          <w:b/>
        </w:rPr>
        <w:t>Will the vendor be allowed to conduct interviews via web conference or Skype rather than face-to-face?</w:t>
      </w:r>
    </w:p>
    <w:p w:rsidR="004921FA" w:rsidRDefault="004921FA" w:rsidP="004921FA">
      <w:pPr>
        <w:pStyle w:val="ListParagraph"/>
      </w:pPr>
      <w:r>
        <w:t>Meetings can take place either face-to-face or via web conference.</w:t>
      </w:r>
    </w:p>
    <w:p w:rsidR="004921FA" w:rsidRDefault="004921FA" w:rsidP="004921FA">
      <w:pPr>
        <w:pStyle w:val="ListParagraph"/>
      </w:pPr>
    </w:p>
    <w:p w:rsidR="004E3279" w:rsidRPr="00950FC7" w:rsidRDefault="004E3279" w:rsidP="004E3279">
      <w:pPr>
        <w:pStyle w:val="ListParagraph"/>
        <w:numPr>
          <w:ilvl w:val="0"/>
          <w:numId w:val="1"/>
        </w:numPr>
        <w:rPr>
          <w:b/>
        </w:rPr>
      </w:pPr>
      <w:r w:rsidRPr="00950FC7">
        <w:rPr>
          <w:b/>
        </w:rPr>
        <w:t>Is the vendor expected to provide a work plan for Future Deliverables, given that they are unknown at this time?</w:t>
      </w:r>
    </w:p>
    <w:p w:rsidR="00950FC7" w:rsidRDefault="00950FC7" w:rsidP="00950FC7">
      <w:pPr>
        <w:pStyle w:val="ListParagraph"/>
      </w:pPr>
      <w:r>
        <w:t xml:space="preserve">No, the work plan for future deliverables </w:t>
      </w:r>
      <w:r w:rsidR="00D24EE3">
        <w:t xml:space="preserve">will </w:t>
      </w:r>
      <w:r>
        <w:t>be submitted with Deliverable 3.</w:t>
      </w:r>
    </w:p>
    <w:p w:rsidR="00950FC7" w:rsidRDefault="00950FC7" w:rsidP="00950FC7">
      <w:pPr>
        <w:pStyle w:val="ListParagraph"/>
      </w:pPr>
    </w:p>
    <w:p w:rsidR="004E3279" w:rsidRPr="004921FA" w:rsidRDefault="007A37D6" w:rsidP="004E3279">
      <w:pPr>
        <w:pStyle w:val="ListParagraph"/>
        <w:numPr>
          <w:ilvl w:val="0"/>
          <w:numId w:val="1"/>
        </w:numPr>
        <w:rPr>
          <w:b/>
        </w:rPr>
      </w:pPr>
      <w:r w:rsidRPr="004921FA">
        <w:rPr>
          <w:b/>
        </w:rPr>
        <w:t>Is there a desired deadline for completion of all deliverables?</w:t>
      </w:r>
      <w:r w:rsidR="004921FA" w:rsidRPr="004921FA">
        <w:rPr>
          <w:b/>
        </w:rPr>
        <w:t xml:space="preserve">  </w:t>
      </w:r>
    </w:p>
    <w:p w:rsidR="004921FA" w:rsidRDefault="004921FA" w:rsidP="004921FA">
      <w:pPr>
        <w:pStyle w:val="ListParagraph"/>
      </w:pPr>
      <w:r>
        <w:t>The deadline for all deliverables, including future deliverables</w:t>
      </w:r>
      <w:r w:rsidR="002B2BEC">
        <w:t>,</w:t>
      </w:r>
      <w:bookmarkStart w:id="0" w:name="_GoBack"/>
      <w:bookmarkEnd w:id="0"/>
      <w:r>
        <w:t xml:space="preserve"> is </w:t>
      </w:r>
      <w:r w:rsidR="002308FF">
        <w:t xml:space="preserve">tentatively </w:t>
      </w:r>
      <w:r>
        <w:t>September 30, 2016.</w:t>
      </w:r>
      <w:r w:rsidR="002308FF">
        <w:t xml:space="preserve"> </w:t>
      </w:r>
    </w:p>
    <w:p w:rsidR="004921FA" w:rsidRPr="00950FC7" w:rsidRDefault="004921FA" w:rsidP="004921FA">
      <w:pPr>
        <w:pStyle w:val="ListParagraph"/>
        <w:rPr>
          <w:b/>
        </w:rPr>
      </w:pPr>
    </w:p>
    <w:p w:rsidR="007A37D6" w:rsidRPr="00950FC7" w:rsidRDefault="007A37D6" w:rsidP="004E3279">
      <w:pPr>
        <w:pStyle w:val="ListParagraph"/>
        <w:numPr>
          <w:ilvl w:val="0"/>
          <w:numId w:val="1"/>
        </w:numPr>
        <w:rPr>
          <w:b/>
        </w:rPr>
      </w:pPr>
      <w:r w:rsidRPr="00950FC7">
        <w:rPr>
          <w:b/>
        </w:rPr>
        <w:t>The Letter of Submittal requires the inclusion of three years of income statements.  Will these be kept confidential?</w:t>
      </w:r>
    </w:p>
    <w:p w:rsidR="00950FC7" w:rsidRDefault="00D24EE3" w:rsidP="00950FC7">
      <w:pPr>
        <w:pStyle w:val="ListParagraph"/>
      </w:pPr>
      <w:r>
        <w:t xml:space="preserve"> Income statements </w:t>
      </w:r>
      <w:r w:rsidR="002308FF">
        <w:t xml:space="preserve">will </w:t>
      </w:r>
      <w:r w:rsidR="003C0EA3">
        <w:t>be kept confidential if marked as such in the bidder’s proposal.</w:t>
      </w:r>
    </w:p>
    <w:p w:rsidR="00950FC7" w:rsidRDefault="00950FC7" w:rsidP="00950FC7">
      <w:pPr>
        <w:pStyle w:val="ListParagraph"/>
      </w:pPr>
    </w:p>
    <w:p w:rsidR="00CE37F5" w:rsidRPr="00950FC7" w:rsidRDefault="00CE37F5" w:rsidP="00CE37F5">
      <w:pPr>
        <w:pStyle w:val="ListParagraph"/>
        <w:numPr>
          <w:ilvl w:val="0"/>
          <w:numId w:val="1"/>
        </w:numPr>
        <w:rPr>
          <w:b/>
        </w:rPr>
      </w:pPr>
      <w:r w:rsidRPr="00950FC7">
        <w:rPr>
          <w:rFonts w:eastAsia="Times New Roman"/>
          <w:b/>
        </w:rPr>
        <w:t>Will a GSA MOBIS contract that identifies our organization's status as a</w:t>
      </w:r>
      <w:r w:rsidRPr="00950FC7">
        <w:rPr>
          <w:rFonts w:eastAsia="Times New Roman"/>
          <w:b/>
        </w:rPr>
        <w:br/>
        <w:t>woman-owned, disadvantaged small business serve as sufficient proof of</w:t>
      </w:r>
      <w:r w:rsidRPr="00950FC7">
        <w:rPr>
          <w:rFonts w:eastAsia="Times New Roman"/>
          <w:b/>
        </w:rPr>
        <w:br/>
        <w:t>Federal certification?</w:t>
      </w:r>
    </w:p>
    <w:p w:rsidR="00CE37F5" w:rsidRDefault="00CE37F5" w:rsidP="00CE37F5">
      <w:pPr>
        <w:pStyle w:val="ListParagraph"/>
        <w:rPr>
          <w:rFonts w:eastAsia="Times New Roman"/>
        </w:rPr>
      </w:pPr>
      <w:r>
        <w:rPr>
          <w:rFonts w:eastAsia="Times New Roman"/>
        </w:rPr>
        <w:t>Yes.</w:t>
      </w:r>
    </w:p>
    <w:p w:rsidR="007A37D6" w:rsidRPr="00950FC7" w:rsidRDefault="007A37D6" w:rsidP="004E3279">
      <w:pPr>
        <w:pStyle w:val="ListParagraph"/>
        <w:numPr>
          <w:ilvl w:val="0"/>
          <w:numId w:val="1"/>
        </w:numPr>
        <w:rPr>
          <w:b/>
        </w:rPr>
      </w:pPr>
      <w:r w:rsidRPr="00950FC7">
        <w:rPr>
          <w:rFonts w:eastAsia="Times New Roman"/>
          <w:b/>
        </w:rPr>
        <w:lastRenderedPageBreak/>
        <w:t>In 5.9 Availability of Funds, it states that "ITCA's obligation under</w:t>
      </w:r>
      <w:r w:rsidRPr="00950FC7">
        <w:rPr>
          <w:rFonts w:eastAsia="Times New Roman"/>
          <w:b/>
        </w:rPr>
        <w:br/>
        <w:t>any resultant contract is contingent upon the availability of appropriate</w:t>
      </w:r>
      <w:r w:rsidRPr="00950FC7">
        <w:rPr>
          <w:rFonts w:eastAsia="Times New Roman"/>
          <w:b/>
        </w:rPr>
        <w:br/>
        <w:t>federal funds from which payment for contract purposes can be made."</w:t>
      </w:r>
      <w:r w:rsidRPr="00950FC7">
        <w:rPr>
          <w:rFonts w:eastAsia="Times New Roman"/>
          <w:b/>
        </w:rPr>
        <w:br/>
        <w:t>Does this mean there is a possibility that the vendor will not be paid for</w:t>
      </w:r>
      <w:r w:rsidRPr="00950FC7">
        <w:rPr>
          <w:rFonts w:eastAsia="Times New Roman"/>
          <w:b/>
        </w:rPr>
        <w:br/>
        <w:t>services provided in good faith under the contract?</w:t>
      </w:r>
    </w:p>
    <w:p w:rsidR="00A55D32" w:rsidRDefault="002764F7" w:rsidP="00A55D32">
      <w:pPr>
        <w:pStyle w:val="ListParagraph"/>
      </w:pPr>
      <w:r>
        <w:t xml:space="preserve">In the event that federal funding is no longer available, ITCA may instruct the contractor to stop work on the project and payment for services completed to date will be provided.  </w:t>
      </w:r>
      <w:r w:rsidR="00893E63">
        <w:t xml:space="preserve">Payment for </w:t>
      </w:r>
      <w:r>
        <w:t xml:space="preserve">deliverables on which work has not been initiated will not be provided.  </w:t>
      </w:r>
    </w:p>
    <w:p w:rsidR="00A55D32" w:rsidRDefault="00A55D32" w:rsidP="00A55D32">
      <w:pPr>
        <w:pStyle w:val="ListParagraph"/>
      </w:pPr>
      <w:r>
        <w:t xml:space="preserve"> </w:t>
      </w:r>
    </w:p>
    <w:p w:rsidR="00923493" w:rsidRPr="00923493" w:rsidRDefault="007A37D6" w:rsidP="00A55D32">
      <w:pPr>
        <w:pStyle w:val="ListParagraph"/>
        <w:numPr>
          <w:ilvl w:val="0"/>
          <w:numId w:val="1"/>
        </w:numPr>
      </w:pPr>
      <w:r w:rsidRPr="00A55D32">
        <w:rPr>
          <w:rFonts w:eastAsia="Times New Roman"/>
          <w:b/>
        </w:rPr>
        <w:t xml:space="preserve">Where will these Questions and ITCA Responses </w:t>
      </w:r>
      <w:proofErr w:type="gramStart"/>
      <w:r w:rsidRPr="00A55D32">
        <w:rPr>
          <w:rFonts w:eastAsia="Times New Roman"/>
          <w:b/>
        </w:rPr>
        <w:t>be</w:t>
      </w:r>
      <w:proofErr w:type="gramEnd"/>
      <w:r w:rsidRPr="00A55D32">
        <w:rPr>
          <w:rFonts w:eastAsia="Times New Roman"/>
          <w:b/>
        </w:rPr>
        <w:t xml:space="preserve"> posted?</w:t>
      </w:r>
      <w:r w:rsidRPr="00A55D32">
        <w:rPr>
          <w:rFonts w:eastAsia="Times New Roman"/>
          <w:b/>
        </w:rPr>
        <w:br/>
      </w:r>
      <w:r w:rsidR="00893E63">
        <w:t xml:space="preserve">Bidders’ questions and ITCA’s official written answers will be posted on the ITCA website at </w:t>
      </w:r>
      <w:hyperlink r:id="rId7" w:history="1">
        <w:r w:rsidR="002764F7" w:rsidRPr="007D2869">
          <w:rPr>
            <w:rStyle w:val="Hyperlink"/>
          </w:rPr>
          <w:t>www.itcaonline.com/wic</w:t>
        </w:r>
      </w:hyperlink>
      <w:r w:rsidR="00923493">
        <w:t xml:space="preserve">  </w:t>
      </w:r>
      <w:r w:rsidR="003C0EA3">
        <w:t>as outlined in RFP section 2.2.4.</w:t>
      </w:r>
    </w:p>
    <w:sectPr w:rsidR="00923493" w:rsidRPr="00923493" w:rsidSect="002B2BEC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D698B"/>
    <w:multiLevelType w:val="hybridMultilevel"/>
    <w:tmpl w:val="65A0063C"/>
    <w:lvl w:ilvl="0" w:tplc="82A0D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79"/>
    <w:rsid w:val="00147B36"/>
    <w:rsid w:val="001D6930"/>
    <w:rsid w:val="002308FF"/>
    <w:rsid w:val="002764F7"/>
    <w:rsid w:val="002B2BEC"/>
    <w:rsid w:val="00323637"/>
    <w:rsid w:val="00332048"/>
    <w:rsid w:val="003C0EA3"/>
    <w:rsid w:val="004921FA"/>
    <w:rsid w:val="004E3279"/>
    <w:rsid w:val="00745866"/>
    <w:rsid w:val="007A37D6"/>
    <w:rsid w:val="00893E63"/>
    <w:rsid w:val="00923493"/>
    <w:rsid w:val="00950FC7"/>
    <w:rsid w:val="00A55D32"/>
    <w:rsid w:val="00AD096F"/>
    <w:rsid w:val="00B546C6"/>
    <w:rsid w:val="00C90197"/>
    <w:rsid w:val="00CE37F5"/>
    <w:rsid w:val="00D24EE3"/>
    <w:rsid w:val="00E26A09"/>
    <w:rsid w:val="00E6329F"/>
    <w:rsid w:val="00FB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2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4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E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E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E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64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2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4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E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E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E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6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tcaonline.com/w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3C15-8387-4A9E-AFEE-F8350B50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56A0A65D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 Tribal Council of Arizona, Inc.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Warwick-Thier</dc:creator>
  <cp:lastModifiedBy>Brandy Warwick-Thier</cp:lastModifiedBy>
  <cp:revision>4</cp:revision>
  <dcterms:created xsi:type="dcterms:W3CDTF">2015-05-28T17:30:00Z</dcterms:created>
  <dcterms:modified xsi:type="dcterms:W3CDTF">2015-05-29T20:16:00Z</dcterms:modified>
</cp:coreProperties>
</file>